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ind w:left="0" w:right="0" w:hanging="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iCs/>
          <w:color w:val="000000"/>
          <w:u w:val="single"/>
        </w:rPr>
        <w:t>TERMO DE REFER</w:t>
      </w:r>
      <w:r>
        <w:rPr>
          <w:rFonts w:cs="Arial" w:ascii="Arial" w:hAnsi="Arial"/>
          <w:b/>
          <w:bCs/>
          <w:color w:val="000000"/>
          <w:u w:val="single"/>
        </w:rPr>
        <w:t>ÊNCIA – LEI 14.133/21  de 01 de abril de 2021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b/>
          <w:bCs/>
          <w:iCs/>
          <w:color w:val="000000"/>
          <w:szCs w:val="20"/>
        </w:rPr>
        <w:t xml:space="preserve">CONTRATAÇÃO DE EMPRESA  </w:t>
      </w:r>
      <w:r>
        <w:rPr>
          <w:rFonts w:eastAsia="Times New Roman" w:cs="Arial" w:ascii="Arial" w:hAnsi="Arial"/>
          <w:b/>
          <w:bCs/>
          <w:iCs/>
          <w:color w:val="000000"/>
          <w:szCs w:val="20"/>
          <w:u w:val="none"/>
        </w:rPr>
        <w:t xml:space="preserve"> ESPECIALIZADA PARA SERVIÇOS DE DESPACHANTE</w:t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iCs/>
          <w:color w:val="000000"/>
        </w:rPr>
        <w:t xml:space="preserve">Processo Administrativo nº </w:t>
      </w:r>
      <w:r>
        <w:rPr>
          <w:rFonts w:eastAsia="Times New Roman" w:cs="Times New Roman" w:ascii="Arial" w:hAnsi="Arial"/>
          <w:b/>
          <w:bCs/>
          <w:iCs/>
          <w:color w:val="000000"/>
        </w:rPr>
        <w:t>00</w:t>
      </w:r>
      <w:r>
        <w:rPr>
          <w:rFonts w:eastAsia="Times New Roman" w:cs="Times New Roman" w:ascii="Arial" w:hAnsi="Arial"/>
          <w:b/>
          <w:bCs/>
          <w:iCs/>
          <w:color w:val="000000"/>
          <w:szCs w:val="20"/>
        </w:rPr>
        <w:t>0339</w:t>
      </w:r>
      <w:r>
        <w:rPr>
          <w:rFonts w:cs="Arial" w:ascii="Arial" w:hAnsi="Arial"/>
          <w:b/>
          <w:bCs/>
          <w:iCs/>
          <w:color w:val="000000"/>
        </w:rPr>
        <w:t xml:space="preserve">2024 de 17 de </w:t>
      </w:r>
      <w:r>
        <w:rPr>
          <w:rFonts w:eastAsia="Times New Roman" w:cs="Arial" w:ascii="Arial" w:hAnsi="Arial"/>
          <w:b/>
          <w:bCs/>
          <w:iCs/>
          <w:color w:val="000000"/>
        </w:rPr>
        <w:t>janeiro</w:t>
      </w:r>
      <w:r>
        <w:rPr>
          <w:rFonts w:cs="Arial" w:ascii="Arial" w:hAnsi="Arial"/>
          <w:b/>
          <w:bCs/>
          <w:iCs/>
          <w:color w:val="000000"/>
        </w:rPr>
        <w:t xml:space="preserve"> de 2024 (</w:t>
      </w:r>
      <w:r>
        <w:rPr>
          <w:rFonts w:eastAsia="Times New Roman" w:cs="Arial" w:ascii="Arial" w:hAnsi="Arial"/>
          <w:b/>
          <w:bCs/>
          <w:iCs/>
          <w:color w:val="000000"/>
          <w:szCs w:val="20"/>
        </w:rPr>
        <w:t>Secretaria Municipal de Educação</w:t>
      </w:r>
      <w:r>
        <w:rPr>
          <w:rFonts w:cs="Arial" w:ascii="Arial" w:hAnsi="Arial"/>
          <w:b/>
          <w:bCs/>
          <w:iCs/>
          <w:color w:val="000000"/>
        </w:rPr>
        <w:t>)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1.1. </w:t>
      </w:r>
      <w:r>
        <w:rPr>
          <w:rFonts w:ascii="Arial" w:hAnsi="Arial"/>
        </w:rPr>
        <w:t xml:space="preserve">Contratação de empresa especializada </w:t>
      </w:r>
      <w:r>
        <w:rPr>
          <w:rFonts w:eastAsia="Times New Roman" w:cs="Times New Roman" w:ascii="Arial" w:hAnsi="Arial"/>
          <w:szCs w:val="20"/>
        </w:rPr>
        <w:t xml:space="preserve">em serviços de despachante para intermediar junto ao DETRAN-ES  o 1º emplacamento e autorização para transporte escolar, necessários aos veículos da frota escolar da Secretaria Municipal de Educação,  </w:t>
      </w:r>
      <w:r>
        <w:rPr>
          <w:rFonts w:ascii="Arial" w:hAnsi="Arial"/>
        </w:rPr>
        <w:t>conforme condições e exigências estabelecidas neste instrumento e no ETP elaborado pela requente.</w:t>
      </w:r>
    </w:p>
    <w:tbl>
      <w:tblPr>
        <w:tblW w:w="10035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99"/>
        <w:gridCol w:w="5100"/>
        <w:gridCol w:w="1129"/>
        <w:gridCol w:w="1346"/>
        <w:gridCol w:w="1661"/>
      </w:tblGrid>
      <w:tr>
        <w:trPr>
          <w:trHeight w:val="269" w:hRule="atLeast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DESCRIÇÃO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Arial" w:hAnsi="Arial"/>
                <w:b/>
                <w:bCs/>
                <w:color w:val="auto"/>
                <w:kern w:val="0"/>
                <w:sz w:val="20"/>
                <w:szCs w:val="20"/>
                <w:lang w:val="pt-BR" w:eastAsia="pt-BR" w:bidi="ar-SA"/>
              </w:rPr>
              <w:t>QUANT.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VALOR </w:t>
            </w:r>
            <w:r>
              <w:rPr>
                <w:rFonts w:eastAsia="Times New Roman" w:cs="Times New Roman" w:ascii="Arial" w:hAnsi="Arial"/>
                <w:b/>
                <w:bCs/>
                <w:color w:val="auto"/>
                <w:kern w:val="0"/>
                <w:sz w:val="20"/>
                <w:szCs w:val="20"/>
                <w:lang w:val="pt-BR" w:eastAsia="zh-CN" w:bidi="ar-SA"/>
              </w:rPr>
              <w:t>UNITÁRIO ESTIMADO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VALOR TOTAL ESTIMADO</w:t>
            </w:r>
          </w:p>
        </w:tc>
      </w:tr>
      <w:tr>
        <w:trPr>
          <w:trHeight w:val="269" w:hRule="atLeast"/>
        </w:trPr>
        <w:tc>
          <w:tcPr>
            <w:tcW w:w="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1</w:t>
            </w: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Prestação de serviços emissão de taxas do DETRAN- ES para primeiro emplacamento de veículo oficial. Inclusive o pagamento da taxa.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R$ 428,00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R$ 6.420,00</w:t>
            </w:r>
          </w:p>
        </w:tc>
      </w:tr>
      <w:tr>
        <w:trPr>
          <w:trHeight w:val="269" w:hRule="atLeast"/>
        </w:trPr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Prestação de serviços expedição de placa nos padrões Mercosul.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R$ 235,00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R$ 3.525,00</w:t>
            </w:r>
          </w:p>
        </w:tc>
      </w:tr>
      <w:tr>
        <w:trPr>
          <w:trHeight w:val="269" w:hRule="atLeast"/>
        </w:trPr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Prestação de serviços </w:t>
            </w: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de honorários para primeiro</w:t>
            </w:r>
            <w:r>
              <w:rPr>
                <w:rFonts w:ascii="Arial" w:hAnsi="Arial"/>
                <w:sz w:val="20"/>
                <w:szCs w:val="20"/>
              </w:rPr>
              <w:t xml:space="preserve"> emplacamento.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15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R$ 110,00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R$ 1.650,00</w:t>
            </w:r>
          </w:p>
        </w:tc>
      </w:tr>
      <w:tr>
        <w:trPr>
          <w:trHeight w:val="269" w:hRule="atLeast"/>
        </w:trPr>
        <w:tc>
          <w:tcPr>
            <w:tcW w:w="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Prestação de serviços emissão de taxa do DETRAN-ES para emissão e pagamento de termo de autorização de transporte escolar, incluindo o pagamento da taxa.</w:t>
            </w:r>
          </w:p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Obs: a vistoria para emissão do laudo já foi contratada pela prefeitura.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240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R$ 50,00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R$ 12.000,00</w:t>
            </w:r>
          </w:p>
        </w:tc>
      </w:tr>
      <w:tr>
        <w:trPr>
          <w:trHeight w:val="269" w:hRule="atLeast"/>
        </w:trPr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</w:tc>
        <w:tc>
          <w:tcPr>
            <w:tcW w:w="51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Prestação de serviços honorários para emissão de termo de autorização de transporte escolar.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240</w:t>
            </w:r>
          </w:p>
        </w:tc>
        <w:tc>
          <w:tcPr>
            <w:tcW w:w="134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R$ 50,00</w:t>
            </w:r>
          </w:p>
        </w:tc>
        <w:tc>
          <w:tcPr>
            <w:tcW w:w="16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 w:eastAsia="Times New Roman" w:cs="Times New Roman"/>
                <w:color w:val="auto"/>
                <w:kern w:val="0"/>
                <w:sz w:val="20"/>
                <w:szCs w:val="20"/>
                <w:lang w:val="pt-BR" w:eastAsia="zh-CN" w:bidi="ar-SA"/>
              </w:rPr>
            </w:pPr>
            <w:r>
              <w:rPr>
                <w:rFonts w:eastAsia="Times New Roman" w:cs="Times New Roman" w:ascii="Arial" w:hAnsi="Arial"/>
                <w:color w:val="auto"/>
                <w:kern w:val="0"/>
                <w:sz w:val="20"/>
                <w:szCs w:val="20"/>
                <w:lang w:val="pt-BR" w:eastAsia="zh-CN" w:bidi="ar-SA"/>
              </w:rPr>
              <w:t>R$ 12.000,00</w:t>
            </w:r>
          </w:p>
        </w:tc>
      </w:tr>
      <w:tr>
        <w:trPr>
          <w:trHeight w:val="269" w:hRule="atLeast"/>
        </w:trPr>
        <w:tc>
          <w:tcPr>
            <w:tcW w:w="1003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VALOR GLOBAL ESTIMADO </w:t>
            </w:r>
            <w:r>
              <w:rPr>
                <w:rFonts w:ascii="Arial" w:hAnsi="Arial"/>
                <w:sz w:val="24"/>
                <w:szCs w:val="24"/>
              </w:rPr>
              <w:t xml:space="preserve">R$ </w:t>
            </w:r>
            <w:r>
              <w:rPr>
                <w:rFonts w:eastAsia="Times New Roman" w:cs="Times New Roman" w:ascii="Arial" w:hAnsi="Arial"/>
                <w:color w:val="auto"/>
                <w:kern w:val="0"/>
                <w:sz w:val="24"/>
                <w:szCs w:val="24"/>
                <w:lang w:val="pt-BR" w:eastAsia="zh-CN" w:bidi="ar-SA"/>
              </w:rPr>
              <w:t>35.595,00 (trinta e cinco mil quinhentos e noventa e cinco reais)</w:t>
            </w:r>
          </w:p>
          <w:p>
            <w:pPr>
              <w:pStyle w:val="Normal"/>
              <w:widowControl w:val="false"/>
              <w:jc w:val="both"/>
              <w:rPr>
                <w:rFonts w:eastAsia="Times New Roman" w:cs="Times New Roman"/>
                <w:color w:val="auto"/>
                <w:kern w:val="0"/>
                <w:lang w:val="pt-BR" w:eastAsia="zh-CN" w:bidi="ar-SA"/>
              </w:rPr>
            </w:pPr>
            <w:r>
              <w:rPr>
                <w:rFonts w:eastAsia="Times New Roman" w:cs="Times New Roman"/>
                <w:color w:val="auto"/>
                <w:kern w:val="0"/>
                <w:lang w:val="pt-BR" w:eastAsia="zh-CN" w:bidi="ar-SA"/>
              </w:rPr>
            </w:r>
          </w:p>
        </w:tc>
      </w:tr>
    </w:tbl>
    <w:p>
      <w:pPr>
        <w:pStyle w:val="Normal"/>
        <w:widowControl w:val="false"/>
        <w:spacing w:lineRule="auto" w:line="276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1.2. O prazo de vigência da contratação será de 60 (sessenta) meses contados do(a) </w:t>
      </w:r>
      <w:r>
        <w:rPr>
          <w:rFonts w:cs="Arial" w:ascii="Arial" w:hAnsi="Arial"/>
          <w:bCs/>
          <w:iCs/>
          <w:color w:val="000000"/>
          <w:szCs w:val="20"/>
        </w:rPr>
        <w:t xml:space="preserve">a partir da assinatura </w:t>
      </w:r>
      <w:r>
        <w:rPr>
          <w:rFonts w:eastAsia="Times New Roman" w:cs="Arial" w:ascii="Arial" w:hAnsi="Arial"/>
          <w:bCs/>
          <w:iCs/>
          <w:color w:val="000000"/>
          <w:szCs w:val="20"/>
        </w:rPr>
        <w:t>do Contrato</w:t>
      </w:r>
      <w:r>
        <w:rPr>
          <w:rFonts w:cs="Arial" w:ascii="Arial" w:hAnsi="Arial"/>
          <w:bCs/>
          <w:iCs/>
          <w:color w:val="000000"/>
          <w:szCs w:val="20"/>
        </w:rPr>
        <w:t>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b w:val="false"/>
          <w:bCs w:val="false"/>
          <w:iCs/>
          <w:color w:val="000000"/>
          <w:sz w:val="24"/>
          <w:szCs w:val="24"/>
        </w:rPr>
        <w:t>1.3.</w:t>
      </w:r>
      <w:r>
        <w:rPr>
          <w:rFonts w:eastAsia="Times New Roman" w:cs="Times New Roman" w:ascii="Arial" w:hAnsi="Arial"/>
          <w:b/>
          <w:bCs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Arial" w:hAnsi="Arial"/>
          <w:iCs/>
          <w:color w:val="000000"/>
          <w:sz w:val="24"/>
          <w:szCs w:val="24"/>
        </w:rPr>
        <w:t>O custo estimado total da contratação é de</w:t>
      </w:r>
      <w:r>
        <w:rPr>
          <w:rFonts w:eastAsia="Times New Roman" w:cs="Times New Roman" w:ascii="Arial" w:hAnsi="Arial"/>
          <w:i w:val="false"/>
          <w:iCs w:val="false"/>
          <w:color w:val="000000"/>
          <w:sz w:val="24"/>
          <w:szCs w:val="24"/>
        </w:rPr>
        <w:t xml:space="preserve"> R$ </w:t>
      </w:r>
      <w:r>
        <w:rPr>
          <w:rFonts w:eastAsia="Times New Roman" w:cs="Times New Roman" w:ascii="Arial" w:hAnsi="Arial"/>
          <w:i w:val="false"/>
          <w:iCs w:val="false"/>
          <w:color w:val="000000"/>
          <w:kern w:val="0"/>
          <w:sz w:val="24"/>
          <w:szCs w:val="24"/>
          <w:lang w:val="pt-BR" w:eastAsia="zh-CN" w:bidi="ar-SA"/>
        </w:rPr>
        <w:t>35.595,00 (trinta e cinco mil quinhentos e noventa e cinco reais)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,</w:t>
      </w:r>
      <w:r>
        <w:rPr>
          <w:rFonts w:eastAsia="Times New Roman" w:cs="Times New Roman" w:ascii="Arial" w:hAnsi="Arial"/>
          <w:i/>
          <w:iCs/>
          <w:color w:val="000000"/>
          <w:sz w:val="24"/>
          <w:szCs w:val="24"/>
        </w:rPr>
        <w:t xml:space="preserve"> </w:t>
      </w:r>
      <w:r>
        <w:rPr>
          <w:rFonts w:eastAsia="Times New Roman" w:cs="Times New Roman" w:ascii="Arial" w:hAnsi="Arial"/>
          <w:iCs/>
          <w:color w:val="000000"/>
          <w:sz w:val="24"/>
          <w:szCs w:val="24"/>
        </w:rPr>
        <w:t>conforme custos unitários</w:t>
      </w:r>
      <w:r>
        <w:rPr>
          <w:rFonts w:eastAsia="Times New Roman" w:cs="Times New Roman" w:ascii="Arial" w:hAnsi="Arial"/>
          <w:bCs/>
          <w:iCs/>
          <w:color w:val="000000"/>
          <w:sz w:val="24"/>
          <w:szCs w:val="24"/>
        </w:rPr>
        <w:t xml:space="preserve"> apostos nos orçamentos e no quadro comparativo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4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 xml:space="preserve">2. DESCRIÇÃO DA NECESSIDADE DA CONTRATAÇÃO </w:t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>2.1. C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que os veículos desta municipalidade que prestam serviços de transporte de escolares, estão credenciados pelo Departamento Estadual de Trânsito do Espírito Santo – DETRAN-ES, evitando assim sérios prejuízos a este município.</w:t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>2.2. C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a obrigatoriedade da Renovação do Termo de Autorização do referido veículo, que é emitido pelo Departamento Estadual de Trânsito – DETRAN-ES, vez que o mesmo têm prazo de validade;</w:t>
      </w:r>
    </w:p>
    <w:p>
      <w:pPr>
        <w:pStyle w:val="Normal"/>
        <w:spacing w:lineRule="auto" w:line="360"/>
        <w:jc w:val="both"/>
        <w:rPr>
          <w:rFonts w:ascii="Arial" w:hAnsi="Arial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4"/>
          <w:szCs w:val="24"/>
        </w:rPr>
        <w:t>2.3. C</w:t>
      </w:r>
      <w:r>
        <w:rPr>
          <w:rFonts w:eastAsia="Times New Roman" w:cs="Times New Roman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onsiderando</w:t>
      </w:r>
      <w:r>
        <w:rPr>
          <w:rFonts w:cs="Times New Roman" w:ascii="Arial" w:hAnsi="Arial"/>
          <w:b w:val="false"/>
          <w:bCs w:val="false"/>
          <w:sz w:val="24"/>
          <w:szCs w:val="24"/>
        </w:rPr>
        <w:t xml:space="preserve"> a necessidade de emplacamento de  veículos novos.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360" w:before="0" w:after="0"/>
        <w:ind w:left="0" w:right="0" w:hanging="0"/>
        <w:contextualSpacing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 xml:space="preserve">2.4. A quantidade foi estimada com base na demanda </w:t>
      </w:r>
      <w:r>
        <w:rPr>
          <w:rFonts w:eastAsia="Arial" w:cs="Arial" w:ascii="Arial" w:hAnsi="Arial"/>
          <w:b w:val="false"/>
          <w:bCs w:val="false"/>
          <w:color w:val="auto"/>
          <w:kern w:val="0"/>
          <w:sz w:val="24"/>
          <w:szCs w:val="24"/>
          <w:lang w:val="pt-BR" w:eastAsia="zh-CN" w:bidi="ar-SA"/>
        </w:rPr>
        <w:t>da Secretaria de Educação.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i w:val="false"/>
          <w:iCs w:val="false"/>
          <w:color w:val="auto"/>
          <w:kern w:val="0"/>
          <w:sz w:val="24"/>
          <w:szCs w:val="24"/>
          <w:lang w:val="pt-BR" w:eastAsia="pt-BR" w:bidi="ar-SA"/>
        </w:rPr>
        <w:t xml:space="preserve">2.5. </w:t>
      </w:r>
      <w:r>
        <w:rPr>
          <w:rFonts w:eastAsia="Arial" w:cs="Arial" w:ascii="Arial" w:hAnsi="Arial"/>
          <w:b w:val="false"/>
          <w:bCs w:val="false"/>
          <w:i w:val="false"/>
          <w:iCs w:val="false"/>
          <w:sz w:val="24"/>
          <w:szCs w:val="24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40"/>
        <w:jc w:val="both"/>
        <w:rPr>
          <w:rFonts w:ascii="Arial" w:hAnsi="Arial"/>
          <w:shd w:fill="FFFF00" w:val="clear"/>
        </w:rPr>
      </w:pPr>
      <w:r>
        <w:rPr>
          <w:rFonts w:ascii="Arial" w:hAnsi="Arial"/>
          <w:shd w:fill="FFFF00" w:val="clear"/>
        </w:rPr>
      </w:r>
    </w:p>
    <w:p>
      <w:pPr>
        <w:pStyle w:val="Normal"/>
        <w:tabs>
          <w:tab w:val="clear" w:pos="708"/>
          <w:tab w:val="left" w:pos="335" w:leader="none"/>
        </w:tabs>
        <w:spacing w:lineRule="auto" w:line="276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>3. DESCRIÇÃO DA SOLUÇÃO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cs="Arial" w:ascii="Arial" w:hAnsi="Arial"/>
          <w:b w:val="false"/>
          <w:bCs w:val="false"/>
          <w:sz w:val="24"/>
          <w:szCs w:val="24"/>
        </w:rPr>
        <w:t>3.1. A solução a ser adotada consiste na c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ontratação de serviços de </w:t>
      </w:r>
      <w:r>
        <w:rPr>
          <w:rFonts w:eastAsia="Arial" w:cs="Times New Roman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despachante para intermediar junto ao DETRAN-ES o 1º emplacamento e autorização para transporte escolar</w:t>
      </w:r>
      <w:r>
        <w:rPr>
          <w:rFonts w:eastAsia="Arial" w:cs="Times New Roman" w:ascii="Arial" w:hAnsi="Arial"/>
          <w:b w:val="false"/>
          <w:bCs w:val="false"/>
          <w:sz w:val="24"/>
          <w:szCs w:val="24"/>
          <w:shd w:fill="auto" w:val="clear"/>
        </w:rPr>
        <w:t>, necessários aos veículos da Secretaria de Educação.</w:t>
      </w:r>
    </w:p>
    <w:p>
      <w:pPr>
        <w:pStyle w:val="Normal"/>
        <w:spacing w:lineRule="auto" w:line="360" w:before="0" w:after="0"/>
        <w:jc w:val="both"/>
        <w:rPr>
          <w:rFonts w:ascii="Arial" w:hAnsi="Arial"/>
          <w:b w:val="false"/>
          <w:bCs w:val="false"/>
        </w:rPr>
      </w:pPr>
      <w:r>
        <w:rPr>
          <w:rFonts w:eastAsia="Arial" w:cs="Arial" w:ascii="Arial" w:hAnsi="Arial"/>
          <w:b w:val="false"/>
          <w:bCs w:val="false"/>
          <w:sz w:val="24"/>
          <w:szCs w:val="24"/>
        </w:rPr>
        <w:t>3.2. A contratação para a contratação da prestação de serviços deverá obedecer, no que couber, ao disposto na Lei n.º 14.133/2021 e suas alterações e o decreto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 Nº 3287/2022.</w:t>
      </w:r>
    </w:p>
    <w:p>
      <w:pPr>
        <w:pStyle w:val="Normal"/>
        <w:spacing w:lineRule="auto" w:line="240"/>
        <w:jc w:val="both"/>
        <w:rPr>
          <w:rFonts w:ascii="Arial" w:hAnsi="Arial"/>
          <w:u w:val="none"/>
          <w:shd w:fill="FFFF00" w:val="clear"/>
        </w:rPr>
      </w:pPr>
      <w:r>
        <w:rPr>
          <w:rFonts w:ascii="Arial" w:hAnsi="Arial"/>
          <w:u w:val="none"/>
          <w:shd w:fill="FFFF00" w:val="clear"/>
        </w:rPr>
      </w:r>
    </w:p>
    <w:p>
      <w:pPr>
        <w:pStyle w:val="Normal"/>
        <w:spacing w:lineRule="auto" w:line="276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>4. REQUISITOS DA CONTRATAÇÃO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>4.1. Não haverá danos ao meio ambiente, uma vez que o serviço não gerará tal problema para a Administração Pública.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4.2.</w:t>
      </w:r>
      <w:r>
        <w:rPr>
          <w:rFonts w:eastAsia="Arial" w:cs="Arial" w:ascii="Arial" w:hAnsi="Arial"/>
          <w:b w:val="false"/>
          <w:bCs w:val="false"/>
        </w:rPr>
        <w:t xml:space="preserve"> </w:t>
      </w:r>
      <w:r>
        <w:rPr>
          <w:rFonts w:ascii="Arial" w:hAnsi="Arial"/>
          <w:b w:val="false"/>
          <w:bCs w:val="false"/>
        </w:rPr>
        <w:t>Apresentar os documentos de cobrança, inclusive Nota Fiscal, com a descrição dos serviços realizados.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b w:val="false"/>
          <w:bCs w:val="false"/>
          <w:lang w:eastAsia="zh-CN"/>
        </w:rPr>
        <w:t>4</w:t>
      </w:r>
      <w:r>
        <w:rPr>
          <w:rFonts w:ascii="Arial" w:hAnsi="Arial"/>
          <w:b w:val="false"/>
          <w:bCs w:val="false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4.4. Obriga-se a Contratada, mediante solicitação do Contratante, a orçar previamente eventual execução de serviços não cobertos pelo objeto do Contrato;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4.5. Prover condições que possibilitem o atendimento dos serviços a partir da data da assinatura do contrato;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4.6. Manter durante a vigência do Contrato todas as condições de habilitação e qualificação exigidas pela legislação em vigor;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4.7. Ressarcir os eventuais prejuízos causados ao órgão e/ou a terceiros, provocados por ineficiência ou irregularidades cometidas por seus empregados ou prepostos na execução dos serviços contratados;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b w:val="false"/>
          <w:bCs w:val="false"/>
          <w:lang w:eastAsia="zh-CN"/>
        </w:rPr>
        <w:t>4.9.</w:t>
      </w:r>
      <w:r>
        <w:rPr>
          <w:rFonts w:ascii="Arial" w:hAnsi="Arial"/>
          <w:b w:val="false"/>
          <w:bCs w:val="false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08"/>
          <w:tab w:val="left" w:pos="142" w:leader="none"/>
        </w:tabs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Arial" w:cs="Arial" w:ascii="Arial" w:hAnsi="Arial"/>
          <w:b w:val="false"/>
          <w:bCs w:val="false"/>
        </w:rPr>
        <w:t>4.10. Executar os serviços de acordo com a melhor técnica e nos padrões de segurança;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b w:val="false"/>
          <w:bCs w:val="false"/>
          <w:lang w:eastAsia="zh-CN"/>
        </w:rPr>
        <w:t>4.11.</w:t>
      </w:r>
      <w:r>
        <w:rPr>
          <w:rFonts w:eastAsia="Arial" w:cs="Arial" w:ascii="Arial" w:hAnsi="Arial"/>
          <w:b w:val="false"/>
          <w:bCs w:val="false"/>
          <w:lang w:eastAsia="zh-CN"/>
        </w:rPr>
        <w:t xml:space="preserve"> Atender com plenitude as exigências contidas nas especificações do objeto do Contrato;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Arial" w:cs="Arial" w:ascii="Arial" w:hAnsi="Arial"/>
          <w:b w:val="false"/>
          <w:bCs w:val="false"/>
          <w:lang w:eastAsia="zh-CN"/>
        </w:rPr>
        <w:t xml:space="preserve">4.12. </w:t>
      </w:r>
      <w:r>
        <w:rPr>
          <w:rFonts w:ascii="Arial" w:hAnsi="Arial"/>
        </w:rPr>
        <w:t xml:space="preserve">A empresa prestadora de serviços será contratada por meio de </w:t>
      </w:r>
      <w:r>
        <w:rPr>
          <w:rFonts w:ascii="Arial" w:hAnsi="Arial"/>
          <w:b/>
          <w:bCs/>
        </w:rPr>
        <w:t>licitação</w:t>
      </w:r>
      <w:r>
        <w:rPr>
          <w:rFonts w:ascii="Arial" w:hAnsi="Arial"/>
        </w:rPr>
        <w:t xml:space="preserve">, sendo sagrado vencedor, o fornecedor que apresentar o menor valor </w:t>
      </w:r>
      <w:r>
        <w:rPr>
          <w:rFonts w:eastAsia="Times New Roman" w:cs="Times New Roman" w:ascii="Arial" w:hAnsi="Arial"/>
          <w:color w:val="000000"/>
        </w:rPr>
        <w:t>por lote</w:t>
      </w:r>
      <w:r>
        <w:rPr>
          <w:rFonts w:ascii="Arial" w:hAnsi="Arial"/>
        </w:rPr>
        <w:t xml:space="preserve"> dos itens, isto é,  justifica-se a contratação por lote, 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pois 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os serviços que estão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 w:val="false"/>
          <w:bCs w:val="false"/>
          <w:color w:val="000000"/>
          <w:kern w:val="0"/>
          <w:sz w:val="24"/>
          <w:szCs w:val="24"/>
          <w:shd w:fill="auto" w:val="clear"/>
          <w:lang w:val="pt-BR" w:eastAsia="zh-CN" w:bidi="ar-SA"/>
        </w:rPr>
        <w:t>em um mesmo lote são dependentes um do outro,</w:t>
      </w:r>
      <w:r>
        <w:rPr>
          <w:rFonts w:eastAsia="Arial" w:cs="Arial" w:ascii="Arial" w:hAnsi="Arial"/>
          <w:b w:val="false"/>
          <w:bCs w:val="false"/>
          <w:sz w:val="24"/>
          <w:szCs w:val="24"/>
          <w:shd w:fill="auto" w:val="clear"/>
        </w:rPr>
        <w:t xml:space="preserve"> trazendo economia para a Administração, </w:t>
      </w:r>
      <w:r>
        <w:rPr>
          <w:rFonts w:ascii="Arial" w:hAnsi="Arial"/>
        </w:rPr>
        <w:t xml:space="preserve">com </w:t>
      </w:r>
      <w:r>
        <w:rPr>
          <w:rFonts w:eastAsia="Times New Roman" w:cs="Times New Roman" w:ascii="Arial" w:hAnsi="Arial"/>
          <w:color w:val="000000"/>
        </w:rPr>
        <w:t>a prestação de serviços</w:t>
      </w:r>
      <w:r>
        <w:rPr>
          <w:rFonts w:ascii="Arial" w:hAnsi="Arial"/>
        </w:rPr>
        <w:t xml:space="preserve"> </w:t>
      </w:r>
      <w:r>
        <w:rPr>
          <w:rFonts w:eastAsia="Times New Roman" w:cs="Times New Roman" w:ascii="Arial" w:hAnsi="Arial"/>
          <w:color w:val="000000"/>
        </w:rPr>
        <w:t>de acordo com a solicitação da secretaria requisitante</w:t>
      </w:r>
      <w:r>
        <w:rPr>
          <w:rFonts w:ascii="Arial" w:hAnsi="Arial"/>
        </w:rPr>
        <w:t>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4.13. A empresa fornecedora devera </w:t>
      </w:r>
      <w:r>
        <w:rPr>
          <w:rFonts w:eastAsia="Times New Roman" w:cs="Times New Roman" w:ascii="Arial" w:hAnsi="Arial"/>
          <w:color w:val="000000"/>
        </w:rPr>
        <w:t>realizar</w:t>
      </w:r>
      <w:r>
        <w:rPr>
          <w:rFonts w:ascii="Arial" w:hAnsi="Arial"/>
        </w:rPr>
        <w:t xml:space="preserve"> o serviço conforme especificação co contrato e na autorização de fornecimento/execução.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color w:val="000000"/>
          <w:szCs w:val="20"/>
        </w:rPr>
        <w:t xml:space="preserve">4.14. </w:t>
      </w:r>
      <w:r>
        <w:rPr>
          <w:rFonts w:ascii="Arial" w:hAnsi="Arial"/>
        </w:rPr>
        <w:t>Não será admitida a subcontratação do objeto contratual.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color w:val="000000"/>
          <w:szCs w:val="20"/>
        </w:rPr>
        <w:t>4.15.</w:t>
      </w:r>
      <w:r>
        <w:rPr>
          <w:rFonts w:ascii="Arial" w:hAnsi="Arial"/>
        </w:rPr>
        <w:t xml:space="preserve"> Não haverá exigência da garantia da contratação dos arts. 96 e seguintes da Lei nº 14.133/21.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76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 xml:space="preserve">5. MODELO DE EXECUÇÃO CONTRATUAL 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5.1. O prazo de execução dos serviços será de 60 (sessenta) meses, de acordo com o contrato e a </w:t>
      </w:r>
      <w:r>
        <w:rPr>
          <w:rFonts w:eastAsia="Times New Roman" w:cs="Times New Roman" w:ascii="Arial" w:hAnsi="Arial"/>
          <w:color w:val="000000"/>
          <w:szCs w:val="20"/>
        </w:rPr>
        <w:t>autorização</w:t>
      </w:r>
      <w:r>
        <w:rPr>
          <w:rFonts w:ascii="Arial" w:hAnsi="Arial"/>
        </w:rPr>
        <w:t xml:space="preserve"> de compras/execução emitida pelo Departamento de Compras e Contratos e seu respectivo prazo </w:t>
      </w:r>
      <w:r>
        <w:rPr>
          <w:rFonts w:eastAsia="Times New Roman" w:cs="Times New Roman" w:ascii="Arial" w:hAnsi="Arial"/>
          <w:color w:val="000000"/>
          <w:szCs w:val="20"/>
        </w:rPr>
        <w:t>de realização dos serviços</w:t>
      </w:r>
      <w:r>
        <w:rPr>
          <w:rFonts w:ascii="Arial" w:hAnsi="Arial"/>
        </w:rPr>
        <w:t>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color w:val="000000"/>
          <w:szCs w:val="20"/>
        </w:rPr>
        <w:t>5.2. Os serviços serão realizados no</w:t>
      </w:r>
      <w:r>
        <w:rPr>
          <w:rFonts w:eastAsia="Times New Roman" w:cs="Arial" w:ascii="Arial" w:hAnsi="Arial"/>
          <w:bCs/>
          <w:color w:val="000000"/>
          <w:u w:val="none"/>
        </w:rPr>
        <w:t xml:space="preserve"> município (São Gabriel da Palha-ES.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Cs/>
          <w:color w:val="000000"/>
          <w:u w:val="none"/>
        </w:rPr>
        <w:t xml:space="preserve">5.2.1 Responsável: </w:t>
      </w:r>
      <w:r>
        <w:rPr>
          <w:rFonts w:ascii="Arial" w:hAnsi="Arial"/>
        </w:rPr>
        <w:t xml:space="preserve">Secretaria Municipal de </w:t>
      </w:r>
      <w:r>
        <w:rPr>
          <w:rFonts w:eastAsia="Times New Roman" w:cs="Times New Roman" w:ascii="Arial" w:hAnsi="Arial"/>
          <w:szCs w:val="20"/>
        </w:rPr>
        <w:t>E</w:t>
      </w:r>
      <w:r>
        <w:rPr>
          <w:rFonts w:eastAsia="Times New Roman" w:cs="Times New Roman" w:ascii="Arial" w:hAnsi="Arial"/>
          <w:color w:val="000000"/>
          <w:szCs w:val="20"/>
        </w:rPr>
        <w:t>ducação</w:t>
      </w:r>
      <w:r>
        <w:rPr>
          <w:rFonts w:ascii="Arial" w:hAnsi="Arial"/>
        </w:rPr>
        <w:t xml:space="preserve">, localizada no 2º andar da Sede desta Prefeitura, à </w:t>
      </w:r>
      <w:r>
        <w:rPr>
          <w:rFonts w:eastAsia="Times New Roman" w:cs="Liberation Serif" w:ascii="Arial" w:hAnsi="Arial"/>
          <w:color w:val="000000"/>
          <w:szCs w:val="20"/>
        </w:rPr>
        <w:t>Praça Vicente Glazar, nº 159</w:t>
      </w:r>
      <w:r>
        <w:rPr>
          <w:rFonts w:cs="Liberation Serif" w:ascii="Arial" w:hAnsi="Arial"/>
        </w:rPr>
        <w:t>, Bairro Glória</w:t>
      </w:r>
      <w:r>
        <w:rPr>
          <w:rFonts w:cs="Liberation Serif" w:ascii="Arial" w:hAnsi="Arial"/>
          <w:sz w:val="22"/>
          <w:szCs w:val="22"/>
        </w:rPr>
        <w:t xml:space="preserve">, </w:t>
      </w:r>
      <w:r>
        <w:rPr>
          <w:rFonts w:ascii="Arial" w:hAnsi="Arial"/>
        </w:rPr>
        <w:t>São Gabriel da Palha – ES, Cep.29.780-000.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E-mail.: </w:t>
      </w:r>
      <w:hyperlink r:id="rId2">
        <w:r>
          <w:rPr>
            <w:rFonts w:ascii="Arial" w:hAnsi="Arial"/>
            <w:color w:val="000000"/>
            <w:u w:val="none"/>
          </w:rPr>
          <w:t>transportesemedsgp</w:t>
        </w:r>
        <w:r>
          <w:rPr>
            <w:rFonts w:eastAsia="Times New Roman" w:cs="Times New Roman" w:ascii="Arial" w:hAnsi="Arial"/>
            <w:color w:val="000000"/>
            <w:szCs w:val="20"/>
            <w:u w:val="none"/>
          </w:rPr>
          <w:t>@gmail.com</w:t>
        </w:r>
      </w:hyperlink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Style w:val="LinkdaInternet"/>
          <w:rFonts w:eastAsia="Times New Roman" w:cs="Times New Roman" w:ascii="Arial" w:hAnsi="Arial"/>
          <w:color w:val="000000"/>
          <w:szCs w:val="20"/>
          <w:u w:val="none"/>
        </w:rPr>
        <w:t>Telefone: (27) 3727 - 1993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color w:val="000000"/>
          <w:szCs w:val="20"/>
        </w:rPr>
        <w:t>5.3. A empresa deverá responsabilizar-se pelos veículos entregues para a realização do serviço, assumindo total responsabilidade por quaisquer danos ou prejuízos causados ao veículo ou a terceiros, enquanto o veículo estiver sob sua guarda.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Times New Roman" w:ascii="Arial" w:hAnsi="Arial"/>
          <w:color w:val="000000"/>
          <w:szCs w:val="20"/>
        </w:rPr>
        <w:t>5.4.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  <w:szCs w:val="20"/>
        </w:rPr>
        <w:t xml:space="preserve"> </w:t>
      </w:r>
      <w:r>
        <w:rPr>
          <w:rFonts w:eastAsia="Times New Roman" w:cs="Arial" w:ascii="Arial" w:hAnsi="Arial"/>
          <w:i w:val="false"/>
          <w:iCs w:val="false"/>
          <w:color w:val="000000"/>
          <w:szCs w:val="20"/>
        </w:rPr>
        <w:t>O recebimento provisório ou definitivo do objeto não exclui a responsabilidade da contratada pelos prejuízos resultantes da incorreta execução do contrato.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i w:val="false"/>
          <w:iCs w:val="false"/>
          <w:color w:val="000000"/>
          <w:szCs w:val="20"/>
        </w:rPr>
        <w:t>5.5. O contrato deverá ser executado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i w:val="false"/>
          <w:iCs w:val="false"/>
          <w:color w:val="000000"/>
          <w:szCs w:val="20"/>
        </w:rPr>
        <w:t>5.6.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i w:val="false"/>
          <w:iCs w:val="false"/>
          <w:color w:val="000000"/>
          <w:szCs w:val="20"/>
        </w:rPr>
        <w:t>5.7. O órgão ou entidade poderá convocar representante da empresa para adoção de Providências que devam ser cumpridas de imediato.</w:t>
      </w:r>
    </w:p>
    <w:p>
      <w:pPr>
        <w:pStyle w:val="Nivel2"/>
        <w:spacing w:lineRule="auto" w:line="360" w:before="0" w:after="0"/>
        <w:ind w:left="0" w:right="0" w:hanging="0"/>
        <w:rPr>
          <w:rFonts w:ascii="Arial" w:hAnsi="Arial" w:cs="Arial"/>
          <w:b/>
          <w:u w:val="single"/>
        </w:rPr>
      </w:pPr>
      <w:r>
        <w:rPr>
          <w:rFonts w:cs="Times New Roman"/>
          <w:b w:val="false"/>
          <w:bCs w:val="false"/>
          <w:color w:val="auto"/>
          <w:sz w:val="24"/>
          <w:szCs w:val="24"/>
        </w:rPr>
        <w:t>5.8.</w:t>
      </w:r>
      <w:r>
        <w:rPr>
          <w:rFonts w:cs="Times New Roman"/>
          <w:bCs/>
          <w:color w:val="auto"/>
          <w:sz w:val="24"/>
          <w:szCs w:val="24"/>
        </w:rPr>
        <w:t xml:space="preserve"> Os veículos (após a execução do serviço/troca de peças) serão recebidos pelo(a) responsável pelo acompanhamento e fiscalização, para efeito de posterior verificação de sua conformidade com as especificações constantes no Contrato e neste Termo de Referência e na proposta.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 w:val="24"/>
          <w:szCs w:val="24"/>
        </w:rPr>
        <w:t>5.9.</w:t>
      </w:r>
      <w:r>
        <w:rPr>
          <w:rFonts w:eastAsia="Times New Roman" w:cs="Arial" w:ascii="Arial" w:hAnsi="Arial"/>
          <w:i w:val="false"/>
          <w:iCs w:val="false"/>
          <w:color w:val="000000"/>
          <w:sz w:val="24"/>
          <w:szCs w:val="24"/>
        </w:rPr>
        <w:t xml:space="preserve"> A conferência/fiscalização deverá ser acompanhada por um servidor </w:t>
      </w:r>
      <w:r>
        <w:rPr>
          <w:rFonts w:eastAsia="Times New Roman" w:cs="Times New Roman" w:ascii="Arial" w:hAnsi="Arial"/>
          <w:i w:val="false"/>
          <w:iCs w:val="false"/>
          <w:color w:val="000000"/>
          <w:sz w:val="24"/>
          <w:szCs w:val="24"/>
        </w:rPr>
        <w:t>da secretaria requisitante</w:t>
      </w:r>
      <w:r>
        <w:rPr>
          <w:rFonts w:eastAsia="Times New Roman" w:cs="Arial" w:ascii="Arial" w:hAnsi="Arial"/>
          <w:i w:val="false"/>
          <w:iCs w:val="false"/>
          <w:color w:val="000000"/>
          <w:sz w:val="24"/>
          <w:szCs w:val="24"/>
        </w:rPr>
        <w:t>, a fim de zelar pela qualidade e quantidade dos itens a serem adquiridos.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i w:val="false"/>
          <w:iCs w:val="false"/>
          <w:color w:val="000000"/>
        </w:rPr>
        <w:t>6. OBRIGAÇÕES DA CONTRATANTE</w:t>
      </w:r>
    </w:p>
    <w:p>
      <w:pPr>
        <w:pStyle w:val="Normal"/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>6.1. Constituem obrigações da Contratante, além de outras previstas no Contrato, Termo de Referência, no Edital e seus anexos:</w:t>
      </w:r>
    </w:p>
    <w:p>
      <w:pPr>
        <w:pStyle w:val="Normal"/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>6.2.  Contratar o serviço no prazo e condições estabelecidas no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6.3.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 Verificar a conformidade dos serviços prestados de acordo com as especificações constantes no Contrato, Termo de Referência, Edital e seus anexos.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6.4.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 Comunicar a Contratada, por escrito, sobre imperfeições, falhas ou irregularidades verificadas no objeto contratado, para que tome as providências cabíveis.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 xml:space="preserve">6.5.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 Acompanhar e fiscalizar o cumprimento das obrigações da Contratada.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6.6.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 Efetuar o pagamento à Contratada no valor correspondente à prestação do objeto, no prazo e forma estabelecidos no Edital e seus anexo. </w:t>
      </w:r>
    </w:p>
    <w:p>
      <w:pPr>
        <w:pStyle w:val="Normal"/>
        <w:tabs>
          <w:tab w:val="clear" w:pos="708"/>
          <w:tab w:val="left" w:pos="508" w:leader="none"/>
        </w:tabs>
        <w:spacing w:lineRule="auto" w:line="360" w:before="57" w:after="57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6.7.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>
      <w:pPr>
        <w:pStyle w:val="Normal"/>
        <w:spacing w:lineRule="auto" w:line="240"/>
        <w:ind w:left="0" w:right="0" w:hanging="0"/>
        <w:jc w:val="both"/>
        <w:rPr/>
      </w:pPr>
      <w:r>
        <w:rPr/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i w:val="false"/>
          <w:iCs w:val="false"/>
          <w:color w:val="000000"/>
        </w:rPr>
        <w:t>7. OBRIGAÇÕES DA CONTRATADA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7.1. A Contratada deve cumprir todas as obrigações constantes no Contrato, neste Termo de Referência, seus anexos e sua proposta, assumindo como exclusivamente seus os riscos e as despesas decorrentes da boa e perfeita execução do objeto.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7.2. Efetuar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o serviço/troca de peça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, conforme especificações, prazo e local constantes no Contrato, Termo de Referência e seus anexos, acompanhado da respectiva nota fiscal.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7.3.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7.4. Substituir, reparar ou corrigir, às suas expensas, no prazo fixado neste Termo de Referência, o objeto com</w:t>
      </w:r>
      <w:r>
        <w:rPr>
          <w:rFonts w:cs="Arial"/>
          <w:b w:val="false"/>
          <w:bCs w:val="false"/>
          <w:i w:val="false"/>
          <w:iCs w:val="false"/>
          <w:color w:val="000000"/>
        </w:rPr>
        <w:t xml:space="preserve">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avarias ou defeitos.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7.5.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Comunicar à Contratante, no prazo máximo de 05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(cinco) dias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 que antecede a data da entrega, os motivos que impossibilitem o cumprimento do prazo previsto, com a devida comprovação.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7.6.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Manter, durante toda a execução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do contrato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7.7.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Indicar preposto para representá-la durante a execução d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o Contrato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7.8.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450" w:leader="none"/>
        </w:tabs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7.9. Durante a execução do Contrato, a CONTRATADA deverá:</w:t>
      </w:r>
      <w:r>
        <w:rPr/>
        <w:br/>
      </w:r>
      <w:r>
        <w:rPr>
          <w:rFonts w:ascii="Arial" w:hAnsi="Arial"/>
          <w:b w:val="false"/>
          <w:bCs w:val="false"/>
        </w:rPr>
        <w:t>7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>.9.1.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 Atender prontamente às solicitações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 xml:space="preserve">da secretaria requisitante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nas quantidades e especificações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  <w:szCs w:val="20"/>
        </w:rPr>
        <w:t>do Contrato e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 xml:space="preserve">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i w:val="false"/>
          <w:iCs w:val="false"/>
          <w:color w:val="000000"/>
        </w:rPr>
        <w:t xml:space="preserve">7.9.2. </w:t>
      </w:r>
      <w:r>
        <w:rPr>
          <w:rFonts w:cs="Arial" w:ascii="Arial" w:hAnsi="Arial"/>
          <w:b w:val="false"/>
          <w:bCs w:val="false"/>
          <w:i w:val="false"/>
          <w:iCs w:val="false"/>
          <w:color w:val="000000"/>
        </w:rPr>
        <w:t>A nota fiscal deverá ser acompanhada pelas Certidões de Regularidades Fiscais.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/>
        <w:br/>
      </w:r>
      <w:bookmarkStart w:id="0" w:name="art12321"/>
      <w:bookmarkStart w:id="1" w:name="art121"/>
      <w:bookmarkStart w:id="2" w:name="_GoBack2"/>
      <w:bookmarkStart w:id="3" w:name="art122%252525252525252525252525252525252"/>
      <w:bookmarkStart w:id="4" w:name="art122%252525252525252525252525252525251"/>
      <w:bookmarkStart w:id="5" w:name="art122%252525252525252525252525252525253"/>
      <w:bookmarkStart w:id="6" w:name="art1222"/>
      <w:bookmarkStart w:id="7" w:name="art120"/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>8. CRITÉRIOS DE PAGAMENTO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lang w:eastAsia="en-US"/>
        </w:rPr>
        <w:t xml:space="preserve">8.1. Recebida a Nota Fiscal ou documento de cobrança equivalente, correrá o prazo de </w:t>
      </w:r>
      <w:r>
        <w:rPr>
          <w:rFonts w:eastAsia="Times New Roman" w:cs="Times New Roman" w:ascii="Arial" w:hAnsi="Arial"/>
          <w:b w:val="false"/>
          <w:bCs w:val="false"/>
          <w:lang w:eastAsia="en-US"/>
        </w:rPr>
        <w:t>(30) trinta</w:t>
      </w:r>
      <w:r>
        <w:rPr>
          <w:rFonts w:ascii="Arial" w:hAnsi="Arial"/>
          <w:b w:val="false"/>
          <w:bCs w:val="false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u w:val="none"/>
          <w:b w:val="false"/>
          <w:bCs w:val="false"/>
          <w:rFonts w:ascii="Arial" w:hAnsi="Arial"/>
          <w:color w:val="000000"/>
        </w:rPr>
        <w:instrText xml:space="preserve"> HYPERLINK "http://www.planalto.gov.br/ccivil_03/_ato2019-2022/2021/lei/L14133.htm" \l "art75"</w:instrText>
      </w:r>
      <w:r>
        <w:rPr>
          <w:u w:val="none"/>
          <w:b w:val="false"/>
          <w:bCs w:val="false"/>
          <w:rFonts w:ascii="Arial" w:hAnsi="Arial"/>
          <w:color w:val="000000"/>
        </w:rPr>
        <w:fldChar w:fldCharType="separate"/>
      </w:r>
      <w:r>
        <w:rPr>
          <w:rFonts w:ascii="Arial" w:hAnsi="Arial"/>
          <w:b w:val="false"/>
          <w:bCs w:val="false"/>
          <w:color w:val="000000"/>
          <w:u w:val="none"/>
        </w:rPr>
        <w:t>inciso II do art. 75 da Lei nº 14.133, de 2021</w:t>
      </w:r>
      <w:r>
        <w:rPr>
          <w:u w:val="none"/>
          <w:b w:val="false"/>
          <w:bCs w:val="false"/>
          <w:rFonts w:ascii="Arial" w:hAnsi="Arial"/>
          <w:color w:val="000000"/>
        </w:rPr>
        <w:fldChar w:fldCharType="end"/>
      </w:r>
      <w:r>
        <w:rPr>
          <w:rFonts w:ascii="Arial" w:hAnsi="Arial"/>
          <w:b w:val="false"/>
          <w:bCs w:val="false"/>
          <w:color w:val="000000"/>
          <w:u w:val="none"/>
        </w:rPr>
        <w:t>.</w:t>
      </w:r>
    </w:p>
    <w:p>
      <w:pPr>
        <w:pStyle w:val="Normal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43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8.5. A</w:t>
      </w:r>
      <w:r>
        <w:rPr>
          <w:rFonts w:ascii="Arial" w:hAnsi="Arial"/>
          <w:b w:val="false"/>
          <w:bCs w:val="false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LinkdaInternet"/>
          <w:rFonts w:ascii="Arial" w:hAnsi="Arial"/>
          <w:b w:val="false"/>
          <w:bCs w:val="false"/>
          <w:lang w:eastAsia="en-US"/>
        </w:rPr>
        <w:t>.</w:t>
      </w:r>
    </w:p>
    <w:p>
      <w:pPr>
        <w:pStyle w:val="Normal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8.8. Será considerada data do pagamento o dia em que constar como emitida a ordem bancária para pagamento.</w:t>
      </w:r>
    </w:p>
    <w:p>
      <w:pPr>
        <w:pStyle w:val="Normal"/>
        <w:spacing w:lineRule="auto" w:line="36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</w:rPr>
        <w:t>89. Quando do pagamento, será efetuada a retenção tributária prevista na legislação aplicável.</w:t>
      </w:r>
    </w:p>
    <w:p>
      <w:pPr>
        <w:pStyle w:val="Normal"/>
        <w:spacing w:lineRule="auto" w:line="36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lang w:eastAsia="en-US"/>
        </w:rPr>
        <w:t xml:space="preserve">8.10. O contratado regularmente optante pelo Simples Nacional, nos termos da </w:t>
      </w:r>
      <w:hyperlink r:id="rId3">
        <w:r>
          <w:rPr>
            <w:rFonts w:ascii="Arial" w:hAnsi="Arial"/>
            <w:b w:val="false"/>
            <w:bCs w:val="false"/>
            <w:u w:val="none"/>
            <w:lang w:eastAsia="en-US"/>
          </w:rPr>
          <w:t>Lei Complementar nº 123, de 2006</w:t>
        </w:r>
      </w:hyperlink>
      <w:r>
        <w:rPr>
          <w:rFonts w:ascii="Arial" w:hAnsi="Arial"/>
          <w:b w:val="false"/>
          <w:bCs w:val="false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36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lang w:eastAsia="en-US"/>
        </w:rPr>
        <w:t>8.11.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36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eastAsia="Calibri" w:cs="Calibri" w:ascii="Arial" w:hAnsi="Arial"/>
          <w:b w:val="false"/>
          <w:bCs w:val="false"/>
          <w:color w:val="000000"/>
        </w:rPr>
        <w:t xml:space="preserve">8.11. </w:t>
      </w:r>
      <w:r>
        <w:rPr>
          <w:rFonts w:ascii="Arial" w:hAnsi="Arial"/>
          <w:b w:val="false"/>
          <w:bCs w:val="false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left="0" w:right="0" w:hanging="0"/>
        <w:jc w:val="center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</w:rPr>
        <w:t xml:space="preserve">VM = VF </w:t>
      </w:r>
      <w:r>
        <w:rPr>
          <w:rFonts w:cs="Verdana" w:ascii="Arial" w:hAnsi="Arial"/>
          <w:b w:val="false"/>
          <w:bCs w:val="false"/>
          <w:sz w:val="24"/>
          <w:szCs w:val="24"/>
          <w:vertAlign w:val="subscript"/>
        </w:rPr>
        <w:t>*</w:t>
      </w:r>
      <w:r>
        <w:rPr>
          <w:rFonts w:cs="Verdana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Verdana" w:ascii="Arial" w:hAnsi="Arial"/>
          <w:b w:val="false"/>
          <w:bCs w:val="false"/>
          <w:sz w:val="24"/>
          <w:szCs w:val="24"/>
          <w:u w:val="single"/>
        </w:rPr>
        <w:t>0,33</w:t>
      </w:r>
      <w:r>
        <w:rPr>
          <w:rFonts w:cs="Verdana" w:ascii="Arial" w:hAnsi="Arial"/>
          <w:b w:val="false"/>
          <w:bCs w:val="false"/>
          <w:sz w:val="24"/>
          <w:szCs w:val="24"/>
        </w:rPr>
        <w:t xml:space="preserve"> </w:t>
      </w:r>
      <w:r>
        <w:rPr>
          <w:rFonts w:cs="Verdana" w:ascii="Arial" w:hAnsi="Arial"/>
          <w:b w:val="false"/>
          <w:bCs w:val="false"/>
          <w:sz w:val="24"/>
          <w:szCs w:val="24"/>
          <w:vertAlign w:val="subscript"/>
        </w:rPr>
        <w:t>*</w:t>
      </w:r>
      <w:r>
        <w:rPr>
          <w:rFonts w:cs="Verdana" w:ascii="Arial" w:hAnsi="Arial"/>
          <w:b w:val="false"/>
          <w:bCs w:val="false"/>
          <w:sz w:val="24"/>
          <w:szCs w:val="24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left="0" w:right="0" w:hanging="0"/>
        <w:jc w:val="center"/>
        <w:rPr>
          <w:rFonts w:ascii="Arial" w:hAnsi="Arial" w:cs="Arial"/>
          <w:b/>
          <w:u w:val="single"/>
        </w:rPr>
      </w:pPr>
      <w:r>
        <w:rPr>
          <w:rFonts w:eastAsia="Verdana" w:cs="Verdana" w:ascii="Arial" w:hAnsi="Arial"/>
          <w:b w:val="false"/>
          <w:bCs w:val="false"/>
          <w:sz w:val="24"/>
          <w:szCs w:val="24"/>
        </w:rPr>
        <w:t xml:space="preserve">        </w:t>
      </w:r>
      <w:r>
        <w:rPr>
          <w:rFonts w:cs="Verdana" w:ascii="Arial" w:hAnsi="Arial"/>
          <w:b w:val="false"/>
          <w:bCs w:val="false"/>
          <w:sz w:val="24"/>
          <w:szCs w:val="24"/>
        </w:rPr>
        <w:t>100</w:t>
      </w:r>
    </w:p>
    <w:p>
      <w:pPr>
        <w:pStyle w:val="Normal"/>
        <w:suppressAutoHyphens w:val="false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color w:val="000000"/>
        </w:rPr>
        <w:t xml:space="preserve">Onde: </w:t>
      </w:r>
    </w:p>
    <w:p>
      <w:pPr>
        <w:pStyle w:val="Normal"/>
        <w:suppressAutoHyphens w:val="false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color w:val="000000"/>
        </w:rPr>
        <w:t xml:space="preserve">VM = Valor da Multa Financeira; </w:t>
      </w:r>
    </w:p>
    <w:p>
      <w:pPr>
        <w:pStyle w:val="Normal"/>
        <w:suppressAutoHyphens w:val="false"/>
        <w:spacing w:lineRule="auto" w:line="360"/>
        <w:rPr>
          <w:rFonts w:ascii="Arial" w:hAnsi="Arial" w:cs="Arial"/>
          <w:b/>
          <w:u w:val="single"/>
        </w:rPr>
      </w:pPr>
      <w:r>
        <w:rPr>
          <w:rFonts w:cs="Arial" w:ascii="Arial" w:hAnsi="Arial"/>
          <w:color w:val="00000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left="0" w:right="0" w:hanging="0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color w:val="000000"/>
          <w:sz w:val="24"/>
          <w:szCs w:val="24"/>
        </w:rPr>
        <w:t>ND = Número de dias em atraso.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color w:val="000000"/>
        </w:rPr>
        <w:t xml:space="preserve">8.12.. </w:t>
      </w:r>
      <w:r>
        <w:rPr>
          <w:rFonts w:cs="Arial" w:ascii="Arial" w:hAnsi="Arial"/>
          <w:b w:val="false"/>
          <w:bCs w:val="false"/>
          <w:color w:val="00000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color w:val="000000"/>
        </w:rPr>
        <w:t>8.13.</w:t>
      </w:r>
      <w:r>
        <w:rPr>
          <w:rFonts w:cs="Arial" w:ascii="Arial" w:hAnsi="Arial"/>
          <w:b w:val="false"/>
          <w:bCs w:val="false"/>
          <w:color w:val="00000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eastAsia="Times New Roman" w:cs="Arial" w:ascii="Arial" w:hAnsi="Arial"/>
          <w:b w:val="false"/>
          <w:bCs w:val="false"/>
          <w:color w:val="000000"/>
        </w:rPr>
        <w:t xml:space="preserve">8.14. </w:t>
      </w:r>
      <w:r>
        <w:rPr>
          <w:rFonts w:cs="Arial" w:ascii="Arial" w:hAnsi="Arial"/>
          <w:b w:val="false"/>
          <w:bCs w:val="false"/>
          <w:color w:val="000000"/>
        </w:rPr>
        <w:t>O CONTRATANTE poderá deduzir do pagamento importâncias que a qualquer título lhe forem devidos pela empresa CONTRATADA, em decorrência de descumprimento de s</w:t>
      </w:r>
      <w:r>
        <w:rPr>
          <w:rFonts w:cs="Arial" w:ascii="Arial" w:hAnsi="Arial"/>
          <w:color w:val="000000"/>
        </w:rPr>
        <w:t>uas obrigações.</w:t>
      </w:r>
    </w:p>
    <w:p>
      <w:pPr>
        <w:pStyle w:val="Default"/>
        <w:spacing w:lineRule="auto" w:line="360"/>
        <w:ind w:left="-22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</w:rPr>
        <w:t>8.15.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lang w:eastAsia="en-US"/>
        </w:rPr>
        <w:t xml:space="preserve">Para a efetivação do pagamento, a CONTRATADA deverá manter as mesmas </w:t>
      </w:r>
      <w:r>
        <w:rPr>
          <w:rFonts w:cs="Arial" w:ascii="Arial" w:hAnsi="Arial"/>
          <w:lang w:eastAsia="pt-BR"/>
        </w:rPr>
        <w:t>condições relativas à proposta de preço e a habilitação;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  <w:iCs/>
        </w:rPr>
        <w:t>9. DAS SANÇÕES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9.1.1. Dar causa à inexecução parcial do contrato.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9.1.3. Dar causa à inexecução total;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9.1.4. Deixar de entregar a documentação exigida para o certame.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9.1.5. Não manter a proposta, salvo em decorrência de fato superveniente devidamente justificado.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9.1.6.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9.1.7. Ensejar o retardamento da execução ou da entrega do objeto sem motivo justificado,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9.1.9. Fraudar a dispensa eletrônica ou praticar ato fraudulento na execução do objeto.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9.1.10. Comportar-se de modo inidôneo ou cometer fraude de qualquer natureza.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9.1.11. Praticar atos ilícitos com vistas a frustrar os objetivos deste certame.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9.1.12. Praticar ato lesivo previsto no art. 5º da Lei nº 12.846, de 1º de agosto de 2013.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9.2.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</w:t>
      </w:r>
      <w:r>
        <w:rPr>
          <w:rFonts w:ascii="Arial" w:hAnsi="Arial"/>
          <w:iCs/>
        </w:rPr>
        <w:t>a) Advertência pela falta do subitem 9.1.1 deste Termo de Referência, quando não se justificar a imposição de penalidade mais grave.</w:t>
      </w:r>
    </w:p>
    <w:p>
      <w:pPr>
        <w:pStyle w:val="Normal"/>
        <w:spacing w:lineRule="auto" w:line="360"/>
        <w:ind w:left="-57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   </w:t>
      </w:r>
      <w:r>
        <w:rPr>
          <w:rFonts w:ascii="Arial" w:hAnsi="Arial"/>
          <w:iCs/>
        </w:rPr>
        <w:t xml:space="preserve">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>
      <w:pPr>
        <w:pStyle w:val="Normal"/>
        <w:spacing w:lineRule="auto" w:line="240"/>
        <w:ind w:left="-57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           </w:t>
      </w:r>
      <w:r>
        <w:rPr>
          <w:rFonts w:ascii="Arial" w:hAnsi="Arial"/>
          <w:iCs/>
        </w:rPr>
        <w:t>b.1) O valor da multa poderá ser descontado das faturas devidas à CONTRATADA;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            </w:t>
      </w:r>
      <w:r>
        <w:rPr>
          <w:rFonts w:ascii="Arial" w:hAnsi="Arial"/>
          <w:iCs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</w:t>
      </w:r>
      <w:r>
        <w:rPr>
          <w:rFonts w:ascii="Arial" w:hAnsi="Arial"/>
          <w:iCs/>
        </w:rPr>
        <w:t>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>
      <w:pPr>
        <w:pStyle w:val="Normal"/>
        <w:spacing w:lineRule="auto" w:line="240"/>
        <w:ind w:left="0" w:right="0" w:firstLine="1247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 xml:space="preserve">         </w:t>
      </w:r>
      <w:r>
        <w:rPr>
          <w:rFonts w:ascii="Arial" w:hAnsi="Arial"/>
          <w:iCs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 Na aplicação das sanções serão considerados: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9.3.1. A natureza e a gravidade da infração cometida.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9.3.2. As peculiaridades do caso concreto.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9.3.3. As circunstâncias agravantes ou atenuantes.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9.3.4. Os danos que dela provierem para a Administração Pública.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9.3.5.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iCs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 w:val="false"/>
          <w:bCs w:val="false"/>
          <w:iCs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  <w:lang w:eastAsia="en-US"/>
        </w:rPr>
        <w:t>10. DA HABILITAÇÃO</w:t>
      </w:r>
    </w:p>
    <w:p>
      <w:pPr>
        <w:pStyle w:val="Normal"/>
        <w:spacing w:lineRule="auto" w:line="36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a) SICAF;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b) Cadastro Nacional de Empresas Inidôneas e Suspensas – CEIS, mantido pela Controladoria-Geral da União (</w:t>
      </w:r>
      <w:hyperlink r:id="rId4">
        <w:r>
          <w:rPr>
            <w:rFonts w:cs="Verdana" w:ascii="Arial" w:hAnsi="Arial"/>
            <w:b w:val="false"/>
            <w:bCs w:val="false"/>
            <w:color w:val="000080"/>
            <w:sz w:val="24"/>
            <w:szCs w:val="24"/>
            <w:u w:val="single"/>
            <w:lang w:eastAsia="ar-SA"/>
          </w:rPr>
          <w:t>www.portaldatransparencia.gov.br/ceis</w:t>
        </w:r>
      </w:hyperlink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);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c) Cadastro Nacional de Condenações Cíveis por Atos de Improbidade Administrativa, mantido pelo Conselho Nacional de Justiça (</w:t>
      </w:r>
      <w:hyperlink r:id="rId5">
        <w:r>
          <w:rPr>
            <w:rFonts w:cs="Verdana" w:ascii="Arial" w:hAnsi="Arial"/>
            <w:b w:val="false"/>
            <w:bCs w:val="false"/>
            <w:color w:val="000080"/>
            <w:sz w:val="24"/>
            <w:szCs w:val="24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).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ar-SA"/>
        </w:rPr>
        <w:t>e) Cadastro de empresas inid</w:t>
      </w:r>
      <w:r>
        <w:rPr>
          <w:rFonts w:cs="Verdana" w:ascii="Arial" w:hAnsi="Arial"/>
          <w:b w:val="false"/>
          <w:bCs w:val="false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6">
        <w:r>
          <w:rPr>
            <w:rFonts w:cs="Verdana" w:ascii="Arial" w:hAnsi="Arial"/>
            <w:b w:val="false"/>
            <w:bCs w:val="false"/>
            <w:color w:val="000080"/>
            <w:u w:val="single"/>
          </w:rPr>
          <w:t>https://www.tcees.tc.br/portal-da-transparencia/consultas/lista-de</w:t>
        </w:r>
      </w:hyperlink>
      <w:r>
        <w:rPr>
          <w:rFonts w:cs="Verdana" w:ascii="Arial" w:hAnsi="Arial"/>
          <w:b w:val="false"/>
          <w:bCs w:val="false"/>
        </w:rPr>
        <w:t xml:space="preserve"> responsáveis/proibidos-de-contratar/).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7">
        <w:r>
          <w:rPr>
            <w:rFonts w:cs="Verdana" w:ascii="Arial" w:hAnsi="Arial"/>
            <w:b w:val="false"/>
            <w:bCs w:val="false"/>
            <w:color w:val="000080"/>
            <w:u w:val="single"/>
            <w:lang w:eastAsia="ar-SA"/>
          </w:rPr>
          <w:t>https://certidoesapf.apps.tcu.gov.br/</w:t>
        </w:r>
      </w:hyperlink>
      <w:r>
        <w:rPr>
          <w:rFonts w:cs="Verdana" w:ascii="Arial" w:hAnsi="Arial"/>
          <w:b w:val="false"/>
          <w:bCs w:val="false"/>
          <w:lang w:eastAsia="ar-SA"/>
        </w:rPr>
        <w:t>);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 xml:space="preserve">10.2 </w:t>
      </w: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 xml:space="preserve">Caso atendidas as condições de participação, </w:t>
      </w:r>
      <w:r>
        <w:rPr>
          <w:rFonts w:cs="Verdana" w:ascii="Arial" w:hAnsi="Arial"/>
          <w:b w:val="false"/>
          <w:bCs w:val="false"/>
          <w:sz w:val="24"/>
          <w:szCs w:val="24"/>
        </w:rPr>
        <w:t>a habilitação dos licitantes será verificada por meio do SICAF, nos documentos por ele abrangidos</w:t>
      </w: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sz w:val="24"/>
          <w:szCs w:val="24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10.2.3 O descu</w:t>
      </w:r>
      <w:r>
        <w:rPr>
          <w:rFonts w:cs="Verdana" w:ascii="Arial" w:hAnsi="Arial"/>
          <w:color w:val="000000"/>
          <w:sz w:val="24"/>
          <w:szCs w:val="24"/>
        </w:rPr>
        <w:t>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left="0" w:right="0" w:hanging="0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left="0" w:right="0" w:hanging="0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</w:rPr>
        <w:t>10.7</w:t>
      </w:r>
      <w:r>
        <w:rPr>
          <w:rFonts w:cs="Verdana" w:ascii="Arial" w:hAnsi="Arial"/>
          <w:color w:val="000000"/>
        </w:rPr>
        <w:t xml:space="preserve"> Ressalvado o disposto no item 5.3, os licitantes deverão encaminhar, nos termos deste Edital, a documentação relacionada nos itens a seguir, para fins de habilitação: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0" w:after="0"/>
        <w:ind w:left="0" w:right="0" w:hanging="0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spacing w:lineRule="auto" w:line="276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/>
          <w:bCs/>
          <w:color w:val="000000"/>
          <w:sz w:val="24"/>
          <w:szCs w:val="24"/>
        </w:rPr>
        <w:tab/>
        <w:t>10.8 Habilitação jurídica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8">
        <w:r>
          <w:rPr>
            <w:rFonts w:cs="Verdana" w:ascii="Arial" w:hAnsi="Arial"/>
            <w:b w:val="false"/>
            <w:bCs w:val="false"/>
            <w:color w:val="000000"/>
            <w:sz w:val="24"/>
            <w:szCs w:val="24"/>
            <w:u w:val="single"/>
          </w:rPr>
          <w:t>www.portaldoempreendedor.gov.br</w:t>
        </w:r>
      </w:hyperlink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10.8.6</w:t>
      </w:r>
      <w:r>
        <w:rPr>
          <w:rFonts w:cs="Verdana" w:ascii="Arial" w:hAnsi="Arial"/>
          <w:b/>
          <w:bCs/>
          <w:color w:val="000000"/>
          <w:sz w:val="24"/>
          <w:szCs w:val="24"/>
        </w:rPr>
        <w:t xml:space="preserve"> </w:t>
      </w:r>
      <w:r>
        <w:rPr>
          <w:rFonts w:cs="Verdana" w:ascii="Arial" w:hAnsi="Arial"/>
          <w:bCs/>
          <w:color w:val="000000"/>
          <w:sz w:val="24"/>
          <w:szCs w:val="24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10.8.7 No caso de empresa ou sociedade estrangeira em funcionamento no País: decreto de autorização;</w:t>
      </w:r>
    </w:p>
    <w:p>
      <w:pPr>
        <w:pStyle w:val="ListParagraph"/>
        <w:spacing w:lineRule="auto" w:line="360" w:before="57" w:after="57"/>
        <w:ind w:left="0" w:right="0" w:hanging="0"/>
        <w:contextualSpacing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sz w:val="24"/>
          <w:szCs w:val="24"/>
        </w:rPr>
        <w:t>10.8.8 Os documentos acima deverão estar acompanhados de todas as alterações ou da c</w:t>
      </w:r>
      <w:r>
        <w:rPr>
          <w:rFonts w:cs="Verdana" w:ascii="Arial" w:hAnsi="Arial"/>
          <w:bCs/>
          <w:color w:val="000000"/>
          <w:sz w:val="24"/>
          <w:szCs w:val="24"/>
        </w:rPr>
        <w:t>onsolidação respectiva;</w:t>
      </w:r>
    </w:p>
    <w:p>
      <w:pPr>
        <w:pStyle w:val="ListParagraph"/>
        <w:spacing w:lineRule="auto" w:line="24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spacing w:lineRule="auto" w:line="276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/>
          <w:bCs/>
          <w:color w:val="000000"/>
          <w:sz w:val="24"/>
          <w:szCs w:val="24"/>
        </w:rPr>
        <w:tab/>
        <w:t xml:space="preserve">10.9. Regularidade fiscal </w:t>
      </w:r>
      <w:r>
        <w:rPr>
          <w:rFonts w:cs="Verdana" w:ascii="Arial" w:hAnsi="Arial"/>
          <w:b/>
          <w:bCs/>
          <w:sz w:val="24"/>
          <w:szCs w:val="24"/>
        </w:rPr>
        <w:t>e trabalhista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en-US"/>
        </w:rPr>
        <w:t>10.9.1 Prova de inscrição no Cadastro Nacional de Pessoas Jurídicas ou no Cadastro de Pessoas Físicas, conforme o caso;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en-US"/>
        </w:rPr>
        <w:t>10.9.2 Certidão de regularidade junto à fazenda pública Municipal, do domicílio do Licitante;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10.9.3 Certidão de regularidade junto à fazenda pública Estadual, do domicílio do Licitante;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</w:rPr>
        <w:t>10.9.5 Certidão de regularidade junto ao FGTS;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lang w:eastAsia="en-US"/>
        </w:rPr>
        <w:t>10.9.6 Certidão Negativa De Débitos Trabalhistas (CNDT) de acordo com a Lei 12440 de 7 de julho de 2011.</w:t>
      </w:r>
    </w:p>
    <w:p>
      <w:pPr>
        <w:pStyle w:val="Normal"/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lang w:eastAsia="en-US" w:bidi="pt-BR"/>
        </w:rPr>
        <w:t xml:space="preserve">10.9.7 Caso o vencedor do menor preço seja qualificado como microempresa ou empresa de pequeno porte </w:t>
      </w:r>
      <w:r>
        <w:rPr>
          <w:rFonts w:cs="Verdana" w:ascii="Arial" w:hAnsi="Arial"/>
          <w:b w:val="false"/>
          <w:bCs w:val="false"/>
          <w:color w:val="000000"/>
          <w:lang w:eastAsia="en-US"/>
        </w:rPr>
        <w:t>deverá apresentar toda a documentação exigida para efeito de compr</w:t>
      </w:r>
      <w:r>
        <w:rPr>
          <w:rFonts w:cs="Verdana" w:ascii="Arial" w:hAnsi="Arial"/>
          <w:color w:val="000000"/>
          <w:lang w:eastAsia="en-US"/>
        </w:rPr>
        <w:t>ovação de regularidade fiscal, mesmo que esta apresente alguma restrição, sob pena de inabilitação.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ListParagraph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/>
          <w:color w:val="000000"/>
          <w:sz w:val="24"/>
          <w:szCs w:val="24"/>
        </w:rPr>
        <w:tab/>
        <w:t>10.10 Qualificação Econômico-Financeira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u w:val="none"/>
        </w:rPr>
        <w:t>10.10.1 Certidão negativa de falência, recuperação judicial e extrajudicial, expedida pelo cartório distribuidor da sede da Licitante ou por meio digital, emitida em até 30 (trinta) dias anteriores à data de abertura da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color w:val="000000"/>
          <w:u w:val="none"/>
        </w:rPr>
        <w:t>10.10.2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left="-57" w:right="0" w:hanging="0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u w:val="none"/>
        </w:rPr>
        <w:t>10.10.3 Para a contagem do prazo estabelecido na letra “a” deste capítulo, será contado a partir do primeiro dia que antecede a data da realização desta 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cs="Verdana" w:ascii="Arial" w:hAnsi="Arial"/>
          <w:b w:val="false"/>
          <w:bCs w:val="false"/>
          <w:iCs/>
          <w:color w:val="000000"/>
          <w:u w:val="none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/>
        <w:ind w:left="-79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  <w:b/>
          <w:bCs/>
        </w:rPr>
        <w:t xml:space="preserve">11. ADEQUAÇÃO ORÇAMENTÁRIA 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>11.1.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numPr>
          <w:ilvl w:val="0"/>
          <w:numId w:val="1"/>
        </w:numPr>
        <w:spacing w:lineRule="auto" w:line="360"/>
        <w:ind w:left="720" w:right="0" w:hanging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/>
        </w:rPr>
        <w:t xml:space="preserve">FICHA – FONTE: 00592-1500000250000 no valor de R$ </w:t>
      </w:r>
      <w:r>
        <w:rPr>
          <w:rFonts w:eastAsia="Times New Roman" w:cs="Times New Roman" w:ascii="Arial" w:hAnsi="Arial"/>
          <w:b w:val="false"/>
          <w:bCs w:val="false"/>
          <w:i w:val="false"/>
          <w:iCs w:val="false"/>
          <w:color w:val="000000"/>
        </w:rPr>
        <w:t>35.595,00 (trinta e cinco mil quinhentos e noventa e cinco reais).</w:t>
      </w:r>
    </w:p>
    <w:p>
      <w:pPr>
        <w:pStyle w:val="Normal"/>
        <w:spacing w:lineRule="auto" w:line="360"/>
        <w:ind w:left="720" w:right="0" w:hanging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720" w:right="0" w:hanging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ind w:left="720" w:right="0" w:hanging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  <w:color w:val="000000"/>
        </w:rPr>
        <w:t>12. DOS RESPONSÁVEIS PELA ELABORAÇÃO DO TERMO DE REFERÊNCIA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 w:val="false"/>
          <w:bCs w:val="false"/>
          <w:color w:val="000000"/>
        </w:rPr>
        <w:t>12.1. A compilação d</w:t>
      </w:r>
      <w:r>
        <w:rPr>
          <w:rFonts w:eastAsia="Times New Roman" w:cs="Arial" w:ascii="Arial" w:hAnsi="Arial"/>
          <w:b w:val="false"/>
          <w:bCs w:val="false"/>
          <w:color w:val="000000"/>
          <w:szCs w:val="20"/>
        </w:rPr>
        <w:t>e parte das</w:t>
      </w:r>
      <w:r>
        <w:rPr>
          <w:rFonts w:cs="Arial" w:ascii="Arial" w:hAnsi="Arial"/>
          <w:b w:val="false"/>
          <w:bCs w:val="false"/>
          <w:color w:val="000000"/>
        </w:rPr>
        <w:t xml:space="preserve"> informações mencionados </w:t>
      </w:r>
      <w:r>
        <w:rPr>
          <w:rFonts w:eastAsia="Times New Roman" w:cs="Arial" w:ascii="Arial" w:hAnsi="Arial"/>
          <w:b w:val="false"/>
          <w:bCs w:val="false"/>
          <w:color w:val="000000"/>
          <w:szCs w:val="20"/>
        </w:rPr>
        <w:t>na</w:t>
      </w:r>
      <w:r>
        <w:rPr>
          <w:rFonts w:cs="Arial" w:ascii="Arial" w:hAnsi="Arial"/>
          <w:b w:val="false"/>
          <w:bCs w:val="false"/>
          <w:color w:val="00000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u w:val="single"/>
        </w:rPr>
      </w:pPr>
      <w:r>
        <w:rPr>
          <w:rFonts w:ascii="Arial" w:hAnsi="Arial"/>
        </w:rPr>
        <w:t>São Gabriel da Palha, 22 de mai</w:t>
      </w:r>
      <w:r>
        <w:rPr>
          <w:rFonts w:eastAsia="Times New Roman" w:cs="Times New Roman" w:ascii="Arial" w:hAnsi="Arial"/>
          <w:color w:val="000000"/>
          <w:szCs w:val="20"/>
        </w:rPr>
        <w:t>o</w:t>
      </w:r>
      <w:r>
        <w:rPr>
          <w:rFonts w:ascii="Arial" w:hAnsi="Arial"/>
        </w:rPr>
        <w:t xml:space="preserve"> de 2024</w:t>
      </w:r>
    </w:p>
    <w:p>
      <w:pPr>
        <w:pStyle w:val="Normal"/>
        <w:spacing w:lineRule="auto" w:line="360"/>
        <w:jc w:val="right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bCs/>
        </w:rPr>
        <w:t>Elaborado por:</w:t>
      </w:r>
      <w:bookmarkStart w:id="8" w:name="_GoBack1"/>
      <w:bookmarkStart w:id="9" w:name="_GoBack"/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rPr>
          <w:rFonts w:ascii="Arial" w:hAnsi="Arial" w:cs="Arial"/>
          <w:b/>
          <w:u w:val="single"/>
        </w:rPr>
      </w:pPr>
      <w:r>
        <w:rPr>
          <w:rFonts w:ascii="Arial" w:hAnsi="Arial"/>
          <w:sz w:val="26"/>
          <w:szCs w:val="26"/>
        </w:rPr>
        <w:t>RODOLFO ANTÔNIO DA SILVA NETO</w:t>
      </w:r>
    </w:p>
    <w:p>
      <w:pPr>
        <w:pStyle w:val="Normal"/>
        <w:spacing w:lineRule="auto" w:line="240"/>
        <w:rPr>
          <w:rFonts w:ascii="Arial" w:hAnsi="Arial" w:cs="Arial"/>
          <w:b/>
          <w:u w:val="single"/>
        </w:rPr>
      </w:pPr>
      <w:r>
        <w:rPr>
          <w:rFonts w:ascii="Arial" w:hAnsi="Arial"/>
          <w:sz w:val="26"/>
          <w:szCs w:val="26"/>
        </w:rPr>
        <w:t>Auxiliar Administrativo</w:t>
      </w:r>
    </w:p>
    <w:p>
      <w:pPr>
        <w:pStyle w:val="Normal"/>
        <w:spacing w:lineRule="auto" w:line="240"/>
        <w:rPr>
          <w:rFonts w:ascii="Arial" w:hAnsi="Arial" w:cs="Arial"/>
          <w:b/>
          <w:u w:val="single"/>
        </w:rPr>
      </w:pPr>
      <w:r>
        <w:rPr>
          <w:rFonts w:ascii="Arial" w:hAnsi="Arial"/>
          <w:sz w:val="26"/>
          <w:szCs w:val="26"/>
        </w:rPr>
        <w:t>Mat nº 000406</w:t>
      </w:r>
      <w:bookmarkStart w:id="10" w:name="_GoBack3"/>
      <w:bookmarkStart w:id="11" w:name="_GoBack31"/>
    </w:p>
    <w:p>
      <w:pPr>
        <w:pStyle w:val="Normal"/>
        <w:suppressAutoHyphens w:val="false"/>
        <w:spacing w:lineRule="auto" w:line="24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  <w:bookmarkStart w:id="12" w:name="_GoBack32"/>
      <w:bookmarkStart w:id="13" w:name="_GoBack33"/>
      <w:bookmarkStart w:id="14" w:name="_GoBack32"/>
      <w:bookmarkStart w:id="15" w:name="_GoBack33"/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</w:rPr>
        <w:t>Assistente Administrativo</w:t>
      </w:r>
    </w:p>
    <w:p>
      <w:pPr>
        <w:pStyle w:val="Normal"/>
        <w:spacing w:lineRule="auto" w:line="360"/>
        <w:ind w:left="0" w:right="0" w:hanging="0"/>
        <w:jc w:val="both"/>
        <w:rPr>
          <w:rFonts w:ascii="Arial" w:hAnsi="Arial" w:cs="Arial"/>
          <w:b/>
          <w:u w:val="single"/>
        </w:rPr>
      </w:pP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>Mat. nº 002983</w:t>
      </w:r>
      <w:hyperlink r:id="rId9">
        <w:bookmarkStart w:id="16" w:name="art122%25252525252525252525C2%2525252525"/>
        <w:bookmarkStart w:id="17" w:name="art122%25252525252525252525C2%2525252521"/>
        <w:bookmarkStart w:id="18" w:name="art1232"/>
        <w:bookmarkStart w:id="19" w:name="art122%25252525252525252525C2%2525252522"/>
        <w:bookmarkStart w:id="20" w:name="art116"/>
        <w:r>
          <w:rPr>
            <w:rFonts w:ascii="Arial" w:hAnsi="Arial"/>
            <w:iCs/>
          </w:rPr>
          <w:t xml:space="preserve">     </w:t>
        </w:r>
      </w:hyperlink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bookmarkEnd w:id="16"/>
      <w:bookmarkEnd w:id="17"/>
      <w:bookmarkEnd w:id="18"/>
      <w:bookmarkEnd w:id="19"/>
      <w:bookmarkEnd w:id="20"/>
    </w:p>
    <w:sectPr>
      <w:headerReference w:type="default" r:id="rId10"/>
      <w:footerReference w:type="default" r:id="rId11"/>
      <w:type w:val="nextPage"/>
      <w:pgSz w:w="11906" w:h="16838"/>
      <w:pgMar w:left="1550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0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Rodap"/>
      <w:pBdr>
        <w:top w:val="single" w:sz="4" w:space="1" w:color="000000"/>
      </w:pBdr>
      <w:jc w:val="center"/>
      <w:rPr>
        <w:rStyle w:val="Pagenumber"/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"/>
      <w:lvlJc w:val="left"/>
      <w:pPr>
        <w:tabs>
          <w:tab w:val="num" w:pos="0"/>
        </w:tabs>
        <w:ind w:left="720" w:hanging="360"/>
      </w:pPr>
      <w:rPr>
        <w:rFonts w:ascii="0" w:hAnsi="0" w:cs="0" w:hint="default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0" w:hAnsi="0" w:cs="0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0" w:hAnsi="0" w:cs="0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e18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537254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2e18ec"/>
    <w:rPr/>
  </w:style>
  <w:style w:type="character" w:styleId="CabealhoChar" w:customStyle="1">
    <w:name w:val="Cabeçalho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 w:customStyle="1">
    <w:name w:val="Rodapé Char"/>
    <w:basedOn w:val="DefaultParagraphFont"/>
    <w:qFormat/>
    <w:rsid w:val="002e18ec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 w:customStyle="1">
    <w:name w:val="A6"/>
    <w:qFormat/>
    <w:rPr>
      <w:color w:val="000000"/>
      <w:sz w:val="18"/>
      <w:u w:val="single"/>
    </w:rPr>
  </w:style>
  <w:style w:type="character" w:styleId="LinkdaInternet" w:customStyle="1">
    <w:name w:val="Hyperlink"/>
    <w:rPr>
      <w:color w:val="000080"/>
      <w:u w:val="single"/>
    </w:rPr>
  </w:style>
  <w:style w:type="character" w:styleId="CorpodetextoChar" w:customStyle="1">
    <w:name w:val="Corpo de texto Char"/>
    <w:basedOn w:val="DefaultParagraphFont"/>
    <w:qFormat/>
    <w:rsid w:val="004568f3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 w:customStyle="1">
    <w:name w:val="Citação Char"/>
    <w:basedOn w:val="DefaultParagraphFont"/>
    <w:qFormat/>
    <w:rsid w:val="00537254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537254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Nivel2Char" w:customStyle="1">
    <w:name w:val="Nivel 2 Char"/>
    <w:basedOn w:val="DefaultParagraphFont"/>
    <w:link w:val="Nivel2"/>
    <w:qFormat/>
    <w:locked/>
    <w:rsid w:val="00537254"/>
    <w:rPr>
      <w:rFonts w:ascii="Arial" w:hAnsi="Arial" w:cs="Arial"/>
      <w:color w:val="000000"/>
    </w:rPr>
  </w:style>
  <w:style w:type="character" w:styleId="Strong">
    <w:name w:val="Strong"/>
    <w:basedOn w:val="DefaultParagraphFont"/>
    <w:uiPriority w:val="22"/>
    <w:qFormat/>
    <w:rsid w:val="00537254"/>
    <w:rPr>
      <w:b/>
      <w:bCs/>
    </w:rPr>
  </w:style>
  <w:style w:type="character" w:styleId="Ttulo1Char" w:customStyle="1">
    <w:name w:val="Título 1 Char"/>
    <w:basedOn w:val="DefaultParagraphFont"/>
    <w:uiPriority w:val="9"/>
    <w:qFormat/>
    <w:rsid w:val="00537254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pt-BR"/>
    </w:rPr>
  </w:style>
  <w:style w:type="character" w:styleId="Nfaseforte">
    <w:name w:val="Strong"/>
    <w:qFormat/>
    <w:rPr>
      <w:b/>
      <w:bCs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Rodap">
    <w:name w:val="Footer"/>
    <w:basedOn w:val="Normal"/>
    <w:link w:val="RodapChar"/>
    <w:rsid w:val="002e18ec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uiPriority w:val="34"/>
    <w:qFormat/>
    <w:rsid w:val="007a2726"/>
    <w:pPr>
      <w:spacing w:before="0" w:after="0"/>
      <w:ind w:left="720" w:hanging="0"/>
      <w:contextualSpacing/>
    </w:pPr>
    <w:rPr/>
  </w:style>
  <w:style w:type="paragraph" w:styleId="Tabelanormal1" w:customStyle="1">
    <w:name w:val="Tabela normal1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rsid w:val="0053725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 w:customStyle="1">
    <w:name w:val="Nivel1"/>
    <w:basedOn w:val="Ttulo1"/>
    <w:next w:val="Normal"/>
    <w:link w:val="Nivel1Char"/>
    <w:qFormat/>
    <w:rsid w:val="00537254"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val="000000"/>
      <w:sz w:val="32"/>
      <w:szCs w:val="32"/>
      <w:lang w:eastAsia="en-US"/>
    </w:rPr>
  </w:style>
  <w:style w:type="paragraph" w:styleId="Standard" w:customStyle="1">
    <w:name w:val="Standard"/>
    <w:qFormat/>
    <w:rsid w:val="00537254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 w:customStyle="1">
    <w:name w:val="citação 2"/>
    <w:basedOn w:val="Quote"/>
    <w:qFormat/>
    <w:rsid w:val="0053725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537254"/>
    <w:pPr>
      <w:suppressAutoHyphens w:val="false"/>
      <w:spacing w:lineRule="auto" w:line="276" w:before="120" w:after="120"/>
      <w:jc w:val="both"/>
    </w:pPr>
    <w:rPr>
      <w:rFonts w:ascii="Arial" w:hAnsi="Arial" w:eastAsia="Calibri" w:cs="Arial" w:eastAsiaTheme="minorHAnsi"/>
      <w:color w:val="000000"/>
      <w:sz w:val="22"/>
      <w:szCs w:val="22"/>
      <w:lang w:eastAsia="en-US"/>
    </w:rPr>
  </w:style>
  <w:style w:type="paragraph" w:styleId="Nivel3" w:customStyle="1">
    <w:name w:val="Nivel 3"/>
    <w:basedOn w:val="ListParagraph"/>
    <w:qFormat/>
    <w:rsid w:val="00537254"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left="425" w:hanging="0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PargrafodaLista">
    <w:name w:val="Parágrafo da Lista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53725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transportesemedsgp@gmail.com" TargetMode="External"/><Relationship Id="rId3" Type="http://schemas.openxmlformats.org/officeDocument/2006/relationships/hyperlink" Target="https://www.planalto.gov.br/ccivil_03/leis/lcp/lcp123.htm" TargetMode="External"/><Relationship Id="rId4" Type="http://schemas.openxmlformats.org/officeDocument/2006/relationships/hyperlink" Target="http://www.portaldatransparencia.gov.br/ceis" TargetMode="External"/><Relationship Id="rId5" Type="http://schemas.openxmlformats.org/officeDocument/2006/relationships/hyperlink" Target="http://www.cnj.jus.br/improbidade_adm/consultar_requerido.php" TargetMode="External"/><Relationship Id="rId6" Type="http://schemas.openxmlformats.org/officeDocument/2006/relationships/hyperlink" Target="https://www.tcees.tc.br/portal-da-transparencia/consultas/lista-de" TargetMode="External"/><Relationship Id="rId7" Type="http://schemas.openxmlformats.org/officeDocument/2006/relationships/hyperlink" Target="https://certidoesapf.apps.tcu.gov.br/" TargetMode="External"/><Relationship Id="rId8" Type="http://schemas.openxmlformats.org/officeDocument/2006/relationships/hyperlink" Target="http://www.portaldoempreendedor.gov.br/" TargetMode="External"/><Relationship Id="rId9" Type="http://schemas.openxmlformats.org/officeDocument/2006/relationships/hyperlink" Target="http://www.portaldoempreendedor.gov.br/" TargetMode="Externa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Application>LibreOffice/7.5.7.1$Windows_X86_64 LibreOffice_project/47eb0cf7efbacdee9b19ae25d6752381ede23126</Application>
  <AppVersion>15.0000</AppVersion>
  <Pages>14</Pages>
  <Words>4022</Words>
  <Characters>23149</Characters>
  <CharactersWithSpaces>27102</CharactersWithSpaces>
  <Paragraphs>214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dcterms:modified xsi:type="dcterms:W3CDTF">2024-06-03T14:14:24Z</dcterms:modified>
  <cp:revision>108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